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outlineLvl w:val="1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表八：</w:t>
      </w:r>
    </w:p>
    <w:p>
      <w:pPr>
        <w:widowControl/>
        <w:jc w:val="center"/>
        <w:outlineLvl w:val="1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一般公共预算“三公”经费支出情况表</w:t>
      </w:r>
    </w:p>
    <w:p>
      <w:pPr>
        <w:widowControl/>
        <w:outlineLvl w:val="1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24"/>
        </w:rPr>
        <w:t>编制部门：新疆财经大学                                        单位：万元</w:t>
      </w:r>
    </w:p>
    <w:tbl>
      <w:tblPr>
        <w:tblStyle w:val="4"/>
        <w:tblW w:w="90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17"/>
        <w:gridCol w:w="1559"/>
        <w:gridCol w:w="1418"/>
        <w:gridCol w:w="1559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因公出国（境）费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公务用车购置及运行费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公务接待费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公务用车购置费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  <w:szCs w:val="22"/>
              </w:rPr>
              <w:t>公务用车运行费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679"/>
              </w:tabs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widowControl/>
        <w:outlineLvl w:val="1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28"/>
          <w:szCs w:val="32"/>
        </w:rPr>
        <w:t>备注：我校2019年没有安排一般公共预算“三公”经费支出</w:t>
      </w: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pPr>
        <w:widowControl/>
        <w:outlineLvl w:val="1"/>
        <w:rPr>
          <w:rFonts w:ascii="仿宋_GB2312" w:hAnsi="宋体" w:eastAsia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AE4B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